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AC8" w14:textId="4F5008F6" w:rsidR="00CC44C0" w:rsidRPr="007B7824" w:rsidRDefault="00CC44C0" w:rsidP="002B52EA">
      <w:pPr>
        <w:pStyle w:val="Heading1"/>
        <w:spacing w:before="0"/>
        <w:rPr>
          <w:rFonts w:ascii="Montserrat ExtraBold" w:eastAsia="Times New Roman" w:hAnsi="Montserrat ExtraBold" w:cs="Times New Roman"/>
          <w:color w:val="0033A0"/>
        </w:rPr>
      </w:pPr>
      <w:r w:rsidRPr="007B7824">
        <w:rPr>
          <w:rFonts w:ascii="Montserrat ExtraBold" w:eastAsia="Times New Roman" w:hAnsi="Montserrat ExtraBold"/>
          <w:color w:val="0033A0"/>
        </w:rPr>
        <w:t>BEYOND BOISE STATE: INTEGRATED CAREER EDUCATION</w:t>
      </w:r>
    </w:p>
    <w:p w14:paraId="5EF75013" w14:textId="16549A30" w:rsidR="00CC44C0" w:rsidRPr="007B7824" w:rsidRDefault="00CC44C0" w:rsidP="00CE65E0">
      <w:pPr>
        <w:pStyle w:val="Heading2"/>
        <w:rPr>
          <w:rFonts w:ascii="Montserrat ExtraBold" w:eastAsia="Times New Roman" w:hAnsi="Montserrat ExtraBold" w:cs="Times New Roman"/>
          <w:color w:val="D64309"/>
        </w:rPr>
      </w:pPr>
      <w:r w:rsidRPr="007B7824">
        <w:rPr>
          <w:rFonts w:ascii="Montserrat ExtraBold" w:eastAsia="Times New Roman" w:hAnsi="Montserrat ExtraBold"/>
          <w:color w:val="D64309"/>
        </w:rPr>
        <w:t>CAREER REFLECTION CHECKLIST  </w:t>
      </w:r>
    </w:p>
    <w:p w14:paraId="50C7C570" w14:textId="77777777" w:rsidR="00CC44C0" w:rsidRPr="002B52EA" w:rsidRDefault="00CC44C0" w:rsidP="00CC44C0">
      <w:pPr>
        <w:shd w:val="clear" w:color="auto" w:fill="FFFFFF"/>
        <w:rPr>
          <w:rFonts w:ascii="Montserrat" w:eastAsia="Times New Roman" w:hAnsi="Montserrat" w:cs="Times New Roman"/>
          <w:sz w:val="12"/>
          <w:szCs w:val="12"/>
        </w:rPr>
      </w:pPr>
      <w:r w:rsidRPr="002B52EA">
        <w:rPr>
          <w:rFonts w:ascii="Montserrat" w:eastAsia="Times New Roman" w:hAnsi="Montserrat" w:cs="Times New Roman"/>
          <w:sz w:val="12"/>
          <w:szCs w:val="12"/>
        </w:rPr>
        <w:t> </w:t>
      </w:r>
    </w:p>
    <w:p w14:paraId="1AEE400B" w14:textId="77777777" w:rsidR="00CC44C0" w:rsidRPr="007B7824" w:rsidRDefault="00CC44C0" w:rsidP="00CC44C0">
      <w:pPr>
        <w:rPr>
          <w:rFonts w:ascii="Montserrat" w:eastAsia="Times New Roman" w:hAnsi="Montserrat" w:cs="Times New Roman"/>
          <w:sz w:val="22"/>
          <w:szCs w:val="22"/>
        </w:rPr>
      </w:pPr>
      <w:r w:rsidRPr="007B7824">
        <w:rPr>
          <w:rFonts w:ascii="Montserrat" w:eastAsia="Times New Roman" w:hAnsi="Montserrat" w:cs="Calibri"/>
          <w:color w:val="000000"/>
          <w:sz w:val="20"/>
          <w:szCs w:val="20"/>
        </w:rPr>
        <w:t>It is critical to connect a student’s career planning process to their major. This midpoint career reflection allows students to pause and synthesize their college experiences and how they relate to their future life and career goals. It is a low-stakes and high-impact moment for students and faculty to discuss and articulate students’ growing understanding of their degree, plans, and purpose. </w:t>
      </w:r>
    </w:p>
    <w:p w14:paraId="411B9E1E" w14:textId="77777777" w:rsidR="00CC44C0" w:rsidRPr="002B52EA" w:rsidRDefault="00CC44C0" w:rsidP="00CC44C0">
      <w:pPr>
        <w:rPr>
          <w:rFonts w:ascii="Montserrat" w:eastAsia="Times New Roman" w:hAnsi="Montserrat" w:cs="Times New Roman"/>
          <w:sz w:val="12"/>
          <w:szCs w:val="12"/>
        </w:rPr>
      </w:pPr>
    </w:p>
    <w:p w14:paraId="5B8DC09C" w14:textId="77777777" w:rsidR="00CC44C0" w:rsidRPr="007B7824" w:rsidRDefault="00CC44C0" w:rsidP="00CC44C0">
      <w:pPr>
        <w:rPr>
          <w:rFonts w:ascii="Montserrat" w:eastAsia="Times New Roman" w:hAnsi="Montserrat" w:cs="Times New Roman"/>
          <w:sz w:val="22"/>
          <w:szCs w:val="22"/>
        </w:rPr>
      </w:pPr>
      <w:r w:rsidRPr="007B7824">
        <w:rPr>
          <w:rFonts w:ascii="Montserrat" w:eastAsia="Times New Roman" w:hAnsi="Montserrat" w:cs="Calibri"/>
          <w:color w:val="000000"/>
          <w:sz w:val="20"/>
          <w:szCs w:val="20"/>
        </w:rPr>
        <w:t xml:space="preserve">This checklist can be used to </w:t>
      </w:r>
      <w:r w:rsidRPr="007B7824">
        <w:rPr>
          <w:rFonts w:ascii="Montserrat" w:eastAsia="Times New Roman" w:hAnsi="Montserrat" w:cs="Calibri"/>
          <w:b/>
          <w:bCs/>
          <w:color w:val="000000"/>
          <w:sz w:val="20"/>
          <w:szCs w:val="20"/>
        </w:rPr>
        <w:t>build</w:t>
      </w:r>
      <w:r w:rsidRPr="007B7824">
        <w:rPr>
          <w:rFonts w:ascii="Montserrat" w:eastAsia="Times New Roman" w:hAnsi="Montserrat" w:cs="Calibri"/>
          <w:color w:val="000000"/>
          <w:sz w:val="20"/>
          <w:szCs w:val="20"/>
        </w:rPr>
        <w:t xml:space="preserve"> a career reflection activity or to </w:t>
      </w:r>
      <w:r w:rsidRPr="007B7824">
        <w:rPr>
          <w:rFonts w:ascii="Montserrat" w:eastAsia="Times New Roman" w:hAnsi="Montserrat" w:cs="Calibri"/>
          <w:b/>
          <w:bCs/>
          <w:color w:val="000000"/>
          <w:sz w:val="20"/>
          <w:szCs w:val="20"/>
        </w:rPr>
        <w:t xml:space="preserve">assess </w:t>
      </w:r>
      <w:r w:rsidRPr="007B7824">
        <w:rPr>
          <w:rFonts w:ascii="Montserrat" w:eastAsia="Times New Roman" w:hAnsi="Montserrat" w:cs="Calibri"/>
          <w:color w:val="000000"/>
          <w:sz w:val="20"/>
          <w:szCs w:val="20"/>
        </w:rPr>
        <w:t>existing career reflection activities in a 200- or 300-level course in the major. </w:t>
      </w:r>
    </w:p>
    <w:p w14:paraId="68230719" w14:textId="77777777" w:rsidR="00CC44C0" w:rsidRPr="002B52EA" w:rsidRDefault="00CC44C0" w:rsidP="00CC44C0">
      <w:pPr>
        <w:rPr>
          <w:rFonts w:ascii="Montserrat" w:eastAsia="Times New Roman" w:hAnsi="Montserrat" w:cs="Times New Roman"/>
          <w:sz w:val="20"/>
          <w:szCs w:val="20"/>
        </w:rPr>
      </w:pPr>
    </w:p>
    <w:p w14:paraId="22D42F89" w14:textId="77777777" w:rsidR="00CC44C0" w:rsidRPr="00CE65E0" w:rsidRDefault="00CC44C0" w:rsidP="00CE65E0">
      <w:pPr>
        <w:pStyle w:val="Heading3"/>
        <w:rPr>
          <w:rFonts w:ascii="Montserrat ExtraBold" w:eastAsia="Times New Roman" w:hAnsi="Montserrat ExtraBold" w:cs="Times New Roman"/>
        </w:rPr>
      </w:pPr>
      <w:r w:rsidRPr="007B7824">
        <w:rPr>
          <w:rFonts w:ascii="Montserrat ExtraBold" w:eastAsia="Times New Roman" w:hAnsi="Montserrat ExtraBold"/>
          <w:color w:val="0033A0"/>
        </w:rPr>
        <w:t>Three Common Elements</w:t>
      </w:r>
    </w:p>
    <w:p w14:paraId="7AA01A38" w14:textId="1CFB1955" w:rsidR="00CC44C0" w:rsidRPr="007B7824" w:rsidRDefault="00CC44C0" w:rsidP="00CC44C0">
      <w:pPr>
        <w:shd w:val="clear" w:color="auto" w:fill="FFFFFF"/>
        <w:rPr>
          <w:rFonts w:ascii="Montserrat" w:eastAsia="Times New Roman" w:hAnsi="Montserrat" w:cs="Times New Roman"/>
          <w:sz w:val="20"/>
          <w:szCs w:val="20"/>
        </w:rPr>
      </w:pPr>
      <w:r w:rsidRPr="007B7824">
        <w:rPr>
          <w:rFonts w:ascii="Montserrat" w:eastAsia="Times New Roman" w:hAnsi="Montserrat" w:cs="Times New Roman"/>
          <w:sz w:val="20"/>
          <w:szCs w:val="20"/>
        </w:rPr>
        <w:t> </w:t>
      </w:r>
      <w:r w:rsidRPr="007B7824">
        <w:rPr>
          <w:rFonts w:ascii="Montserrat" w:eastAsia="Times New Roman" w:hAnsi="Montserrat" w:cs="Calibri"/>
          <w:color w:val="000000"/>
          <w:sz w:val="20"/>
          <w:szCs w:val="20"/>
        </w:rPr>
        <w:t xml:space="preserve">At a minimum, the career reflection activity in a 200- or 300-level course in each major must include three common elements, </w:t>
      </w:r>
      <w:r w:rsidRPr="00CD21FD">
        <w:rPr>
          <w:rFonts w:ascii="Montserrat" w:eastAsia="Times New Roman" w:hAnsi="Montserrat" w:cs="Calibri"/>
          <w:color w:val="000000"/>
          <w:sz w:val="20"/>
          <w:szCs w:val="20"/>
        </w:rPr>
        <w:t xml:space="preserve">bolded </w:t>
      </w:r>
      <w:r w:rsidRPr="007B7824">
        <w:rPr>
          <w:rFonts w:ascii="Montserrat" w:eastAsia="Times New Roman" w:hAnsi="Montserrat" w:cs="Calibri"/>
          <w:color w:val="000000"/>
          <w:sz w:val="20"/>
          <w:szCs w:val="20"/>
        </w:rPr>
        <w:t>below:</w:t>
      </w:r>
    </w:p>
    <w:p w14:paraId="6B1ADEA3" w14:textId="77777777" w:rsidR="00CC44C0" w:rsidRPr="002B52EA" w:rsidRDefault="00CC44C0" w:rsidP="00CC44C0">
      <w:pPr>
        <w:shd w:val="clear" w:color="auto" w:fill="FFFFFF"/>
        <w:rPr>
          <w:rFonts w:ascii="Montserrat" w:eastAsia="Times New Roman" w:hAnsi="Montserrat" w:cs="Times New Roman"/>
          <w:sz w:val="12"/>
          <w:szCs w:val="12"/>
        </w:rPr>
      </w:pPr>
      <w:r w:rsidRPr="002B52EA">
        <w:rPr>
          <w:rFonts w:ascii="Montserrat" w:eastAsia="Times New Roman" w:hAnsi="Montserrat" w:cs="Times New Roman"/>
          <w:sz w:val="12"/>
          <w:szCs w:val="12"/>
        </w:rPr>
        <w:t> </w:t>
      </w:r>
    </w:p>
    <w:p w14:paraId="00DBFCA5" w14:textId="77777777" w:rsidR="00CC44C0" w:rsidRPr="007B7824" w:rsidRDefault="00CC44C0" w:rsidP="00CC44C0">
      <w:pPr>
        <w:numPr>
          <w:ilvl w:val="0"/>
          <w:numId w:val="1"/>
        </w:numPr>
        <w:textAlignment w:val="baseline"/>
        <w:rPr>
          <w:rFonts w:ascii="Montserrat" w:eastAsia="Times New Roman" w:hAnsi="Montserrat" w:cs="Calibri"/>
          <w:b/>
          <w:bCs/>
          <w:color w:val="000000"/>
          <w:sz w:val="20"/>
          <w:szCs w:val="20"/>
        </w:rPr>
      </w:pPr>
      <w:r w:rsidRPr="007B7824">
        <w:rPr>
          <w:rFonts w:ascii="Montserrat" w:eastAsia="Times New Roman" w:hAnsi="Montserrat" w:cs="Calibri"/>
          <w:b/>
          <w:bCs/>
          <w:color w:val="000000"/>
          <w:sz w:val="20"/>
          <w:szCs w:val="20"/>
          <w:u w:val="single"/>
        </w:rPr>
        <w:t>Looking Forward</w:t>
      </w:r>
      <w:r w:rsidRPr="007B7824">
        <w:rPr>
          <w:rFonts w:ascii="Montserrat" w:eastAsia="Times New Roman" w:hAnsi="Montserrat" w:cs="Calibri"/>
          <w:b/>
          <w:bCs/>
          <w:color w:val="000000"/>
          <w:sz w:val="20"/>
          <w:szCs w:val="20"/>
        </w:rPr>
        <w:t>: Students explore and articulate their post-graduate intentions</w:t>
      </w:r>
      <w:r w:rsidRPr="007B7824">
        <w:rPr>
          <w:rFonts w:ascii="Montserrat" w:eastAsia="Times New Roman" w:hAnsi="Montserrat" w:cs="Calibri"/>
          <w:b/>
          <w:bCs/>
          <w:color w:val="000000"/>
          <w:sz w:val="20"/>
          <w:szCs w:val="20"/>
        </w:rPr>
        <w:br/>
      </w:r>
      <w:r w:rsidRPr="007B7824">
        <w:rPr>
          <w:rFonts w:ascii="Montserrat" w:eastAsia="Times New Roman" w:hAnsi="Montserrat" w:cs="Calibri"/>
          <w:color w:val="000000"/>
          <w:sz w:val="20"/>
          <w:szCs w:val="20"/>
        </w:rPr>
        <w:t>What do they want to become as a learner, as a citizen, or as a professional?</w:t>
      </w:r>
    </w:p>
    <w:p w14:paraId="1277E8F0" w14:textId="77777777" w:rsidR="00CC44C0" w:rsidRPr="00CD21FD" w:rsidRDefault="00CC44C0" w:rsidP="00CC44C0">
      <w:pPr>
        <w:rPr>
          <w:rFonts w:ascii="Montserrat" w:eastAsia="Times New Roman" w:hAnsi="Montserrat" w:cs="Times New Roman"/>
          <w:sz w:val="12"/>
          <w:szCs w:val="12"/>
        </w:rPr>
      </w:pPr>
    </w:p>
    <w:p w14:paraId="1D2FEC00" w14:textId="36D934F7" w:rsidR="00CC44C0" w:rsidRPr="007B7824" w:rsidRDefault="00CC44C0" w:rsidP="00CC44C0">
      <w:pPr>
        <w:ind w:left="1440"/>
        <w:rPr>
          <w:rFonts w:ascii="Montserrat" w:eastAsia="Times New Roman" w:hAnsi="Montserrat" w:cs="Times New Roman"/>
          <w:sz w:val="20"/>
          <w:szCs w:val="20"/>
        </w:rPr>
      </w:pPr>
      <w:r w:rsidRPr="007B7824">
        <w:rPr>
          <w:rFonts w:ascii="Montserrat" w:eastAsia="Times New Roman" w:hAnsi="Montserrat" w:cs="Calibri"/>
          <w:color w:val="000000"/>
          <w:sz w:val="20"/>
          <w:szCs w:val="20"/>
        </w:rPr>
        <w:t xml:space="preserve">Broader questions like: “What do you hope to do after graduation? What’s next for you?” can prompt them to reflect on their interests and intentions for the future and what jobs, </w:t>
      </w:r>
      <w:proofErr w:type="gramStart"/>
      <w:r w:rsidRPr="007B7824">
        <w:rPr>
          <w:rFonts w:ascii="Montserrat" w:eastAsia="Times New Roman" w:hAnsi="Montserrat" w:cs="Calibri"/>
          <w:color w:val="000000"/>
          <w:sz w:val="20"/>
          <w:szCs w:val="20"/>
        </w:rPr>
        <w:t>fields</w:t>
      </w:r>
      <w:proofErr w:type="gramEnd"/>
      <w:r w:rsidRPr="007B7824">
        <w:rPr>
          <w:rFonts w:ascii="Montserrat" w:eastAsia="Times New Roman" w:hAnsi="Montserrat" w:cs="Calibri"/>
          <w:color w:val="000000"/>
          <w:sz w:val="20"/>
          <w:szCs w:val="20"/>
        </w:rPr>
        <w:t xml:space="preserve"> or careers they are looking toward. Students will be at various stages (some will have set plans; some will be adjusting to plans that have changed; some will respond: “I don’t know!”) </w:t>
      </w:r>
    </w:p>
    <w:p w14:paraId="527D6C71" w14:textId="77777777" w:rsidR="00CC44C0" w:rsidRPr="002B52EA" w:rsidRDefault="00CC44C0" w:rsidP="00CC44C0">
      <w:pPr>
        <w:shd w:val="clear" w:color="auto" w:fill="FFFFFF"/>
        <w:rPr>
          <w:rFonts w:ascii="Montserrat" w:eastAsia="Times New Roman" w:hAnsi="Montserrat" w:cs="Times New Roman"/>
          <w:sz w:val="12"/>
          <w:szCs w:val="12"/>
        </w:rPr>
      </w:pPr>
      <w:r w:rsidRPr="002B52EA">
        <w:rPr>
          <w:rFonts w:ascii="Montserrat" w:eastAsia="Times New Roman" w:hAnsi="Montserrat" w:cs="Times New Roman"/>
          <w:sz w:val="12"/>
          <w:szCs w:val="12"/>
        </w:rPr>
        <w:t> </w:t>
      </w:r>
    </w:p>
    <w:p w14:paraId="30B6023B" w14:textId="77777777" w:rsidR="00CC44C0" w:rsidRPr="007B7824" w:rsidRDefault="00CC44C0" w:rsidP="00CC44C0">
      <w:pPr>
        <w:numPr>
          <w:ilvl w:val="0"/>
          <w:numId w:val="2"/>
        </w:numPr>
        <w:textAlignment w:val="baseline"/>
        <w:rPr>
          <w:rFonts w:ascii="Montserrat" w:eastAsia="Times New Roman" w:hAnsi="Montserrat" w:cs="Calibri"/>
          <w:b/>
          <w:bCs/>
          <w:color w:val="000000"/>
          <w:sz w:val="20"/>
          <w:szCs w:val="20"/>
        </w:rPr>
      </w:pPr>
      <w:r w:rsidRPr="007B7824">
        <w:rPr>
          <w:rFonts w:ascii="Montserrat" w:eastAsia="Times New Roman" w:hAnsi="Montserrat" w:cs="Calibri"/>
          <w:b/>
          <w:bCs/>
          <w:color w:val="000000"/>
          <w:sz w:val="20"/>
          <w:szCs w:val="20"/>
          <w:u w:val="single"/>
        </w:rPr>
        <w:t>Looking Back</w:t>
      </w:r>
      <w:r w:rsidRPr="007B7824">
        <w:rPr>
          <w:rFonts w:ascii="Montserrat" w:eastAsia="Times New Roman" w:hAnsi="Montserrat" w:cs="Calibri"/>
          <w:b/>
          <w:bCs/>
          <w:color w:val="000000"/>
          <w:sz w:val="20"/>
          <w:szCs w:val="20"/>
        </w:rPr>
        <w:t>: Students reflect on their experiences</w:t>
      </w:r>
      <w:r w:rsidRPr="007B7824">
        <w:rPr>
          <w:rFonts w:ascii="Montserrat" w:eastAsia="Times New Roman" w:hAnsi="Montserrat" w:cs="Calibri"/>
          <w:b/>
          <w:bCs/>
          <w:color w:val="000000"/>
          <w:sz w:val="20"/>
          <w:szCs w:val="20"/>
        </w:rPr>
        <w:br/>
      </w:r>
      <w:r w:rsidRPr="007B7824">
        <w:rPr>
          <w:rFonts w:ascii="Montserrat" w:eastAsia="Times New Roman" w:hAnsi="Montserrat" w:cs="Calibri"/>
          <w:color w:val="000000"/>
          <w:sz w:val="20"/>
          <w:szCs w:val="20"/>
        </w:rPr>
        <w:t>As a result, what do they know/what have they done/what they have learned?</w:t>
      </w:r>
    </w:p>
    <w:p w14:paraId="5180650E" w14:textId="77777777" w:rsidR="00CC44C0" w:rsidRPr="00CD21FD" w:rsidRDefault="00CC44C0" w:rsidP="00CC44C0">
      <w:pPr>
        <w:rPr>
          <w:rFonts w:ascii="Montserrat" w:eastAsia="Times New Roman" w:hAnsi="Montserrat" w:cs="Times New Roman"/>
          <w:sz w:val="12"/>
          <w:szCs w:val="12"/>
        </w:rPr>
      </w:pPr>
    </w:p>
    <w:p w14:paraId="45B198D6" w14:textId="45D1C311" w:rsidR="00CC44C0" w:rsidRPr="007B7824" w:rsidRDefault="00CC44C0" w:rsidP="00CC44C0">
      <w:pPr>
        <w:ind w:left="1440"/>
        <w:rPr>
          <w:rFonts w:ascii="Montserrat" w:eastAsia="Times New Roman" w:hAnsi="Montserrat" w:cs="Times New Roman"/>
          <w:sz w:val="20"/>
          <w:szCs w:val="20"/>
        </w:rPr>
      </w:pPr>
      <w:r w:rsidRPr="007B7824">
        <w:rPr>
          <w:rFonts w:ascii="Montserrat" w:eastAsia="Times New Roman" w:hAnsi="Montserrat" w:cs="Calibri"/>
          <w:color w:val="000000"/>
          <w:sz w:val="20"/>
          <w:szCs w:val="20"/>
        </w:rPr>
        <w:t xml:space="preserve">Given their post-graduate intentions, students can brainstorm how </w:t>
      </w:r>
      <w:proofErr w:type="gramStart"/>
      <w:r w:rsidRPr="007B7824">
        <w:rPr>
          <w:rFonts w:ascii="Montserrat" w:eastAsia="Times New Roman" w:hAnsi="Montserrat" w:cs="Calibri"/>
          <w:color w:val="000000"/>
          <w:sz w:val="20"/>
          <w:szCs w:val="20"/>
        </w:rPr>
        <w:t>their</w:t>
      </w:r>
      <w:proofErr w:type="gramEnd"/>
      <w:r w:rsidRPr="007B7824">
        <w:rPr>
          <w:rFonts w:ascii="Montserrat" w:eastAsia="Times New Roman" w:hAnsi="Montserrat" w:cs="Calibri"/>
          <w:color w:val="000000"/>
          <w:sz w:val="20"/>
          <w:szCs w:val="20"/>
        </w:rPr>
        <w:t xml:space="preserve"> in- and out-of-classroom experiences have helped them develop competencies, expand their interests, and/or evolve their values regarding what’s next. Encourage them to support their conclusions with evidence from their experiences. </w:t>
      </w:r>
    </w:p>
    <w:p w14:paraId="49411FE9" w14:textId="1D7A336A" w:rsidR="00CC44C0" w:rsidRPr="002B52EA" w:rsidRDefault="00CC44C0" w:rsidP="00CC44C0">
      <w:pPr>
        <w:rPr>
          <w:rFonts w:ascii="Montserrat" w:eastAsia="Times New Roman" w:hAnsi="Montserrat" w:cs="Times New Roman"/>
          <w:sz w:val="12"/>
          <w:szCs w:val="12"/>
        </w:rPr>
      </w:pPr>
    </w:p>
    <w:p w14:paraId="62720323" w14:textId="77777777" w:rsidR="00CC44C0" w:rsidRPr="007B7824" w:rsidRDefault="00CC44C0" w:rsidP="00CC44C0">
      <w:pPr>
        <w:numPr>
          <w:ilvl w:val="0"/>
          <w:numId w:val="3"/>
        </w:numPr>
        <w:textAlignment w:val="baseline"/>
        <w:rPr>
          <w:rFonts w:ascii="Montserrat" w:eastAsia="Times New Roman" w:hAnsi="Montserrat" w:cs="Calibri"/>
          <w:b/>
          <w:bCs/>
          <w:color w:val="000000"/>
          <w:sz w:val="20"/>
          <w:szCs w:val="20"/>
        </w:rPr>
      </w:pPr>
      <w:r w:rsidRPr="007B7824">
        <w:rPr>
          <w:rFonts w:ascii="Montserrat" w:eastAsia="Times New Roman" w:hAnsi="Montserrat" w:cs="Calibri"/>
          <w:b/>
          <w:bCs/>
          <w:color w:val="000000"/>
          <w:sz w:val="20"/>
          <w:szCs w:val="20"/>
          <w:u w:val="single"/>
        </w:rPr>
        <w:t>Next Steps</w:t>
      </w:r>
      <w:r w:rsidRPr="007B7824">
        <w:rPr>
          <w:rFonts w:ascii="Montserrat" w:eastAsia="Times New Roman" w:hAnsi="Montserrat" w:cs="Calibri"/>
          <w:b/>
          <w:bCs/>
          <w:color w:val="000000"/>
          <w:sz w:val="20"/>
          <w:szCs w:val="20"/>
        </w:rPr>
        <w:t>: Students describe actionable steps necessary for achieving their plans</w:t>
      </w:r>
      <w:r w:rsidRPr="007B7824">
        <w:rPr>
          <w:rFonts w:ascii="Montserrat" w:eastAsia="Times New Roman" w:hAnsi="Montserrat" w:cs="Calibri"/>
          <w:b/>
          <w:bCs/>
          <w:color w:val="000000"/>
          <w:sz w:val="20"/>
          <w:szCs w:val="20"/>
        </w:rPr>
        <w:br/>
      </w:r>
      <w:r w:rsidRPr="007B7824">
        <w:rPr>
          <w:rFonts w:ascii="Montserrat" w:eastAsia="Times New Roman" w:hAnsi="Montserrat" w:cs="Calibri"/>
          <w:color w:val="000000"/>
          <w:sz w:val="20"/>
          <w:szCs w:val="20"/>
        </w:rPr>
        <w:t>What’s next--what immediate next steps should they take?</w:t>
      </w:r>
    </w:p>
    <w:p w14:paraId="4AEF3938" w14:textId="77777777" w:rsidR="00CC44C0" w:rsidRPr="00CD21FD" w:rsidRDefault="00CC44C0" w:rsidP="00CC44C0">
      <w:pPr>
        <w:rPr>
          <w:rFonts w:ascii="Montserrat" w:eastAsia="Times New Roman" w:hAnsi="Montserrat" w:cs="Times New Roman"/>
          <w:sz w:val="12"/>
          <w:szCs w:val="12"/>
        </w:rPr>
      </w:pPr>
    </w:p>
    <w:p w14:paraId="5672FB93" w14:textId="1B354D21" w:rsidR="00CC44C0" w:rsidRPr="007B7824" w:rsidRDefault="00CC44C0" w:rsidP="00CC44C0">
      <w:pPr>
        <w:ind w:left="1440"/>
        <w:rPr>
          <w:rFonts w:ascii="Montserrat" w:eastAsia="Times New Roman" w:hAnsi="Montserrat" w:cs="Times New Roman"/>
          <w:sz w:val="20"/>
          <w:szCs w:val="20"/>
        </w:rPr>
      </w:pPr>
      <w:r w:rsidRPr="007B7824">
        <w:rPr>
          <w:rFonts w:ascii="Montserrat" w:eastAsia="Times New Roman" w:hAnsi="Montserrat" w:cs="Calibri"/>
          <w:color w:val="000000"/>
          <w:sz w:val="20"/>
          <w:szCs w:val="20"/>
        </w:rPr>
        <w:t xml:space="preserve">Where are students in relation to their post-graduate intentions? How can they make the most of their time left at Boise State? What gaps can they identify (in skills or experiences) and how might they fill them? For example, students can make a list of tangible next steps, associated timelines, and potential resources/support. </w:t>
      </w:r>
    </w:p>
    <w:p w14:paraId="142A1544" w14:textId="77777777" w:rsidR="00CC44C0" w:rsidRPr="007B7824" w:rsidRDefault="00CC44C0" w:rsidP="00CC44C0">
      <w:pPr>
        <w:rPr>
          <w:rFonts w:ascii="Montserrat" w:eastAsia="Times New Roman" w:hAnsi="Montserrat" w:cs="Times New Roman"/>
          <w:sz w:val="20"/>
          <w:szCs w:val="20"/>
        </w:rPr>
      </w:pPr>
    </w:p>
    <w:p w14:paraId="2D7E8388" w14:textId="77777777" w:rsidR="00CC44C0" w:rsidRPr="007B7824" w:rsidRDefault="00CC44C0" w:rsidP="00CC44C0">
      <w:pPr>
        <w:shd w:val="clear" w:color="auto" w:fill="FFFFFF"/>
        <w:rPr>
          <w:rFonts w:ascii="Montserrat" w:eastAsia="Times New Roman" w:hAnsi="Montserrat" w:cs="Times New Roman"/>
          <w:sz w:val="20"/>
          <w:szCs w:val="20"/>
        </w:rPr>
      </w:pPr>
      <w:r w:rsidRPr="007B7824">
        <w:rPr>
          <w:rFonts w:ascii="Montserrat" w:eastAsia="Times New Roman" w:hAnsi="Montserrat" w:cs="Calibri"/>
          <w:color w:val="000000"/>
          <w:sz w:val="20"/>
          <w:szCs w:val="20"/>
        </w:rPr>
        <w:t xml:space="preserve">While descriptions are provided for each element above, the guidance is not meant to be prescriptive or limiting. </w:t>
      </w:r>
      <w:r w:rsidRPr="007B7824">
        <w:rPr>
          <w:rFonts w:ascii="Montserrat" w:eastAsia="Times New Roman" w:hAnsi="Montserrat" w:cs="Calibri"/>
          <w:b/>
          <w:bCs/>
          <w:color w:val="D64309"/>
          <w:sz w:val="20"/>
          <w:szCs w:val="20"/>
        </w:rPr>
        <w:t>The specifics of the career reflection activity (and how these elements are incorporated) are at the discretion of each major and department.</w:t>
      </w:r>
      <w:r w:rsidRPr="007B7824">
        <w:rPr>
          <w:rFonts w:ascii="Montserrat" w:eastAsia="Times New Roman" w:hAnsi="Montserrat" w:cs="Calibri"/>
          <w:color w:val="D64309"/>
          <w:sz w:val="20"/>
          <w:szCs w:val="20"/>
        </w:rPr>
        <w:t xml:space="preserve"> </w:t>
      </w:r>
      <w:r w:rsidRPr="007B7824">
        <w:rPr>
          <w:rFonts w:ascii="Montserrat" w:eastAsia="Times New Roman" w:hAnsi="Montserrat" w:cs="Calibri"/>
          <w:color w:val="000000"/>
          <w:sz w:val="20"/>
          <w:szCs w:val="20"/>
        </w:rPr>
        <w:t>All three elements may be included in one assignment or split up within a course or series of courses. Given the circular nature of the reflection process, even the element order is fluid. Yet the university-wide use of these common elements (at the midpoint as well as in Finishing Foundations) will enable students to connect their reflection activities throughout their university experience. </w:t>
      </w:r>
    </w:p>
    <w:p w14:paraId="6988CA3A" w14:textId="77777777" w:rsidR="00CC44C0" w:rsidRPr="002B52EA" w:rsidRDefault="00CC44C0" w:rsidP="00CC44C0">
      <w:pPr>
        <w:rPr>
          <w:rFonts w:ascii="Montserrat" w:eastAsia="Times New Roman" w:hAnsi="Montserrat" w:cs="Times New Roman"/>
          <w:sz w:val="20"/>
          <w:szCs w:val="20"/>
        </w:rPr>
      </w:pPr>
    </w:p>
    <w:p w14:paraId="3FC2FA66" w14:textId="77777777" w:rsidR="00CC44C0" w:rsidRPr="007B7824" w:rsidRDefault="00CC44C0" w:rsidP="007B7824">
      <w:pPr>
        <w:pStyle w:val="Heading3"/>
        <w:rPr>
          <w:rFonts w:ascii="Montserrat ExtraBold" w:eastAsia="Times New Roman" w:hAnsi="Montserrat ExtraBold" w:cs="Times New Roman"/>
          <w:color w:val="0033A0"/>
        </w:rPr>
      </w:pPr>
      <w:r w:rsidRPr="007B7824">
        <w:rPr>
          <w:rFonts w:ascii="Montserrat ExtraBold" w:eastAsia="Times New Roman" w:hAnsi="Montserrat ExtraBold"/>
          <w:color w:val="0033A0"/>
        </w:rPr>
        <w:t>Resources</w:t>
      </w:r>
    </w:p>
    <w:p w14:paraId="27220923" w14:textId="77777777" w:rsidR="00CC44C0" w:rsidRPr="007B7824" w:rsidRDefault="00CC44C0" w:rsidP="00CC44C0">
      <w:pPr>
        <w:rPr>
          <w:rFonts w:ascii="Montserrat" w:eastAsia="Times New Roman" w:hAnsi="Montserrat" w:cs="Times New Roman"/>
          <w:sz w:val="20"/>
          <w:szCs w:val="20"/>
        </w:rPr>
      </w:pPr>
      <w:r w:rsidRPr="007B7824">
        <w:rPr>
          <w:rFonts w:ascii="Montserrat" w:eastAsia="Times New Roman" w:hAnsi="Montserrat" w:cs="Calibri"/>
          <w:color w:val="000000"/>
          <w:sz w:val="20"/>
          <w:szCs w:val="20"/>
        </w:rPr>
        <w:t xml:space="preserve">Go to the Integrated Career Education Resources page to find further information on the three elements, as well as example reflection questions, activities, a ready-to-use </w:t>
      </w:r>
      <w:proofErr w:type="gramStart"/>
      <w:r w:rsidRPr="007B7824">
        <w:rPr>
          <w:rFonts w:ascii="Montserrat" w:eastAsia="Times New Roman" w:hAnsi="Montserrat" w:cs="Calibri"/>
          <w:color w:val="000000"/>
          <w:sz w:val="20"/>
          <w:szCs w:val="20"/>
        </w:rPr>
        <w:t>assignment</w:t>
      </w:r>
      <w:proofErr w:type="gramEnd"/>
      <w:r w:rsidRPr="007B7824">
        <w:rPr>
          <w:rFonts w:ascii="Montserrat" w:eastAsia="Times New Roman" w:hAnsi="Montserrat" w:cs="Calibri"/>
          <w:color w:val="000000"/>
          <w:sz w:val="20"/>
          <w:szCs w:val="20"/>
        </w:rPr>
        <w:t xml:space="preserve"> and a fully developed Canvas module.</w:t>
      </w:r>
    </w:p>
    <w:p w14:paraId="5FC548A6" w14:textId="77777777" w:rsidR="00CC44C0" w:rsidRPr="002B52EA" w:rsidRDefault="00CC44C0" w:rsidP="00CC44C0">
      <w:pPr>
        <w:rPr>
          <w:rFonts w:ascii="Montserrat" w:eastAsia="Times New Roman" w:hAnsi="Montserrat" w:cs="Times New Roman"/>
          <w:sz w:val="12"/>
          <w:szCs w:val="12"/>
        </w:rPr>
      </w:pPr>
    </w:p>
    <w:p w14:paraId="4C27A08E" w14:textId="7413218D" w:rsidR="002336E6" w:rsidRPr="007B7824" w:rsidRDefault="00CC44C0">
      <w:pPr>
        <w:rPr>
          <w:rFonts w:ascii="Montserrat" w:eastAsia="Times New Roman" w:hAnsi="Montserrat" w:cs="Times New Roman"/>
          <w:sz w:val="20"/>
          <w:szCs w:val="20"/>
        </w:rPr>
      </w:pPr>
      <w:r w:rsidRPr="007B7824">
        <w:rPr>
          <w:rFonts w:ascii="Montserrat" w:eastAsia="Times New Roman" w:hAnsi="Montserrat" w:cs="Calibri"/>
          <w:color w:val="000000"/>
          <w:sz w:val="20"/>
          <w:szCs w:val="20"/>
        </w:rPr>
        <w:t xml:space="preserve">Career Services would love to support you in this work! Reach out to Debbie Kaylor, Career Services Director, at </w:t>
      </w:r>
      <w:hyperlink r:id="rId5" w:history="1">
        <w:r w:rsidRPr="007B7824">
          <w:rPr>
            <w:rFonts w:ascii="Montserrat" w:eastAsia="Times New Roman" w:hAnsi="Montserrat" w:cs="Calibri"/>
            <w:color w:val="1155CC"/>
            <w:sz w:val="20"/>
            <w:szCs w:val="20"/>
            <w:u w:val="single"/>
          </w:rPr>
          <w:t>debbiekaylor@boisestate.edu</w:t>
        </w:r>
      </w:hyperlink>
      <w:r w:rsidRPr="007B7824">
        <w:rPr>
          <w:rFonts w:ascii="Montserrat" w:eastAsia="Times New Roman" w:hAnsi="Montserrat" w:cs="Calibri"/>
          <w:color w:val="000000"/>
          <w:sz w:val="20"/>
          <w:szCs w:val="20"/>
        </w:rPr>
        <w:t xml:space="preserve"> with questions or to schedule customized consulting.</w:t>
      </w:r>
    </w:p>
    <w:sectPr w:rsidR="002336E6" w:rsidRPr="007B7824" w:rsidSect="00CE6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0D8"/>
    <w:multiLevelType w:val="multilevel"/>
    <w:tmpl w:val="7558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545FC"/>
    <w:multiLevelType w:val="multilevel"/>
    <w:tmpl w:val="17E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F5771"/>
    <w:multiLevelType w:val="multilevel"/>
    <w:tmpl w:val="A20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811854">
    <w:abstractNumId w:val="0"/>
  </w:num>
  <w:num w:numId="2" w16cid:durableId="886571333">
    <w:abstractNumId w:val="2"/>
  </w:num>
  <w:num w:numId="3" w16cid:durableId="140780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C0"/>
    <w:rsid w:val="002336E6"/>
    <w:rsid w:val="002B52EA"/>
    <w:rsid w:val="00314EED"/>
    <w:rsid w:val="007B7824"/>
    <w:rsid w:val="00CC44C0"/>
    <w:rsid w:val="00CD21FD"/>
    <w:rsid w:val="00CE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EFD5"/>
  <w15:chartTrackingRefBased/>
  <w15:docId w15:val="{C6703C6F-41D0-8645-8E29-257968AC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5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6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65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4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C44C0"/>
    <w:rPr>
      <w:color w:val="0000FF"/>
      <w:u w:val="single"/>
    </w:rPr>
  </w:style>
  <w:style w:type="character" w:customStyle="1" w:styleId="Heading1Char">
    <w:name w:val="Heading 1 Char"/>
    <w:basedOn w:val="DefaultParagraphFont"/>
    <w:link w:val="Heading1"/>
    <w:uiPriority w:val="9"/>
    <w:rsid w:val="00CE65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65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65E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biekaylor@boise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3</cp:revision>
  <dcterms:created xsi:type="dcterms:W3CDTF">2022-08-30T18:40:00Z</dcterms:created>
  <dcterms:modified xsi:type="dcterms:W3CDTF">2022-09-09T15:56:00Z</dcterms:modified>
</cp:coreProperties>
</file>