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The Master of Arts in English, Literature </w:t>
            </w:r>
            <w:proofErr w:type="spellStart"/>
            <w:r w:rsidRPr="005A0C03">
              <w:rPr>
                <w:rFonts w:ascii="Arial" w:hAnsi="Arial" w:cs="Arial"/>
                <w:sz w:val="12"/>
                <w:szCs w:val="12"/>
              </w:rPr>
              <w:t>ofers</w:t>
            </w:r>
            <w:proofErr w:type="spellEnd"/>
            <w:r w:rsidRPr="005A0C03">
              <w:rPr>
                <w:rFonts w:ascii="Arial" w:hAnsi="Arial" w:cs="Arial"/>
                <w:sz w:val="12"/>
                <w:szCs w:val="12"/>
              </w:rPr>
              <w:t xml:space="preserve"> two options for completion of the degree. The first is a 33- hour thesis/project option, which requires 15 hours of core courses and 15 hours of general electives plus a 3-credit thesis, project, or portfolio. This option is designed particularly for students who plan to continue their studies in a doctoral program, and others who wish to engage in an intensive research and writing experience. The other is a 36-hour course work degree, which includes 15 hours of core requirements and 21 hours of general electives. This degree is </w:t>
            </w:r>
            <w:bookmarkStart w:id="0" w:name="_GoBack"/>
            <w:bookmarkEnd w:id="0"/>
            <w:r w:rsidRPr="005A0C03">
              <w:rPr>
                <w:rFonts w:ascii="Arial" w:hAnsi="Arial" w:cs="Arial"/>
                <w:sz w:val="12"/>
                <w:szCs w:val="12"/>
              </w:rPr>
              <w:t>designed for students who wish to study a wide range of literature, rhetoric and composition, linguistics, English Education and/or Technical Communication courses.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Core Requirements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ENGL 500 Research Methods in Literary Studies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ENGL 510 Seminar in Major American or English Writer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C03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ENGL 530 Studies in a Literary Period </w:t>
            </w:r>
          </w:p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Candidates must take at least two period courses. One of these must be in literature up to 1800, and the other in literature after 1800.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ENGL 588 Survey of Critical Theory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5A0C03">
        <w:trPr>
          <w:trHeight w:val="171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C03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To be selected from other graduate Offerings in Literature, Linguistics, English Education, Rhetoric and Composition, Creative Writing, and Technical Communication. The electives may include ENGL 598 Seminar (Teaching Assistants), a maximum of six credits of ENGL 400G courses, and a maximum of three credits of independent work in ENGL 590, ENGL 595, and/or ENGL 596.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5A0C03">
        <w:trPr>
          <w:trHeight w:val="136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C03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Culminating Activity Thesis, Portfolio, or Project </w:t>
            </w:r>
          </w:p>
          <w:p w:rsidR="005A0C03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Students take 3 credits of ENGL 591 Project, ENGL 592 Portfolio or ENGL 593 Thesis in their final semester. With the help of an advisor, the student selects a thesis or project topic or develops material for inclusion in a portfolio and prepares a prospectus before the student’s final semester. After completion of the thesis, portfolio, or project, the student must pass an oral defense. </w:t>
            </w:r>
          </w:p>
          <w:p w:rsidR="005A0C03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 xml:space="preserve">Course Work </w:t>
            </w:r>
          </w:p>
          <w:p w:rsidR="00BA3E01" w:rsidRPr="005A0C03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A0C03">
              <w:rPr>
                <w:rFonts w:ascii="Arial" w:hAnsi="Arial" w:cs="Arial"/>
                <w:sz w:val="12"/>
                <w:szCs w:val="12"/>
              </w:rPr>
              <w:t>Students take six additional hours of electives as described above, for a total of 21 hours of electives.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5A0C03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5A0C03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33-36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1423B2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11/23/20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5A0C03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English Literature MA, </w:t>
    </w:r>
    <w:r w:rsidR="001423B2" w:rsidRPr="007E3E62">
      <w:rPr>
        <w:rFonts w:ascii="Arial" w:hAnsi="Arial" w:cs="Arial"/>
        <w:color w:val="222222"/>
        <w:sz w:val="20"/>
        <w:szCs w:val="20"/>
        <w:shd w:val="clear" w:color="auto" w:fill="FFFFFF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423B2"/>
    <w:rsid w:val="001C0ECF"/>
    <w:rsid w:val="002A4CBA"/>
    <w:rsid w:val="003B1EDA"/>
    <w:rsid w:val="003D4918"/>
    <w:rsid w:val="00430CE0"/>
    <w:rsid w:val="0053228C"/>
    <w:rsid w:val="005A0C03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CC3F20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2020-11-23T16:56:00Z</dcterms:created>
  <dcterms:modified xsi:type="dcterms:W3CDTF">2020-11-23T16:56:00Z</dcterms:modified>
</cp:coreProperties>
</file>