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DA51FF">
              <w:rPr>
                <w:rFonts w:ascii="Arial" w:hAnsi="Arial" w:cs="Arial"/>
                <w:sz w:val="12"/>
                <w:szCs w:val="12"/>
              </w:rPr>
              <w:t>ED-CIFS 503 Fundamentals of 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510 Issues and Topics in 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DA51FF">
        <w:trPr>
          <w:trHeight w:val="3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Approved ED-SPED graduate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DA51FF">
        <w:trPr>
          <w:trHeight w:val="27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ED-ECS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DA51F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A51F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A51F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1FF" w:rsidRPr="00DA51FF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A51FF">
              <w:rPr>
                <w:rFonts w:ascii="Arial" w:hAnsi="Arial" w:cs="Arial"/>
                <w:sz w:val="12"/>
                <w:szCs w:val="12"/>
              </w:rPr>
              <w:t>Completion of the required courses in the Master of Arts in Early Childhood Studies does not qualify the candidate for state certification in Blended Early Childhood/Early Childhood Special Education. The candidate should seek advising to determine certification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1FF" w:rsidRPr="00B54BFE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1FF" w:rsidRPr="00B54BFE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1FF" w:rsidRPr="00B54BFE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1FF" w:rsidRPr="00B54BFE" w:rsidRDefault="00DA51F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A51F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A51F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Studies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DA51FF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F09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2018-09-28T22:18:00Z</dcterms:created>
  <dcterms:modified xsi:type="dcterms:W3CDTF">2018-09-28T22:18:00Z</dcterms:modified>
</cp:coreProperties>
</file>