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>The student must complete a minimum of 30 credits, of which 20 or more are required to be at the 500-level.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3A8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Geology Core (4 of the following 6 courses) </w:t>
            </w:r>
          </w:p>
          <w:p w:rsidR="009743A8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GEOS 523 Advanced Geomorphology (3 </w:t>
            </w:r>
            <w:proofErr w:type="spellStart"/>
            <w:r w:rsidRPr="009743A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3A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3A8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GEOS 525 Whole Earth Geochemistry (3 </w:t>
            </w:r>
            <w:proofErr w:type="spellStart"/>
            <w:r w:rsidRPr="009743A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3A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3A8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GEOS 541 Plate Tectonics (3 </w:t>
            </w:r>
            <w:proofErr w:type="spellStart"/>
            <w:r w:rsidRPr="009743A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3A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3A8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GEOS 560 Volcanology (3 </w:t>
            </w:r>
            <w:proofErr w:type="spellStart"/>
            <w:r w:rsidRPr="009743A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3A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3A8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GEOS 607 Paleoclimatology and Paleoceanography (3 </w:t>
            </w:r>
            <w:proofErr w:type="spellStart"/>
            <w:r w:rsidRPr="009743A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3A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GEOS 611 Basin Analysis (3 </w:t>
            </w:r>
            <w:proofErr w:type="spellStart"/>
            <w:r w:rsidRPr="009743A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3A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3A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3A8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GEOS 601 Graduate Orientation </w:t>
            </w:r>
          </w:p>
          <w:p w:rsidR="00B54BFE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3A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3A8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54BFE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in residence; one credit may be applied towards graduation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3A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3A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9743A8">
        <w:trPr>
          <w:trHeight w:val="144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743A8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3A8">
              <w:rPr>
                <w:rFonts w:ascii="Arial" w:hAnsi="Arial" w:cs="Arial"/>
                <w:sz w:val="12"/>
                <w:szCs w:val="12"/>
              </w:rPr>
              <w:t>Additional elective courses as approved by the supervisory committee and by the coordinator of the M.S. Geology program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3A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9743A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3A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3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743A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743A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Geology MS,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9743A8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DB53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2018-09-28T16:53:00Z</dcterms:created>
  <dcterms:modified xsi:type="dcterms:W3CDTF">2018-09-28T16:53:00Z</dcterms:modified>
</cp:coreProperties>
</file>