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6B7714">
              <w:rPr>
                <w:rFonts w:ascii="Arial" w:hAnsi="Arial" w:cs="Arial"/>
                <w:sz w:val="12"/>
                <w:szCs w:val="12"/>
              </w:rPr>
              <w:t>BUSMBA 500 Introduction and Business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501 Design Thinking and Strategic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505 Marketing Strategy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510 People and Organizations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515 Corporate Finance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520 Global Economics: Policy and Trade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525 Managerial Accounting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530 Managerial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535 Information Technology and Business Alignment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540 Managing Successful Projects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545 Legal Issues in Business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08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550 Operations and Supply Chain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6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6B7714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6B7714">
              <w:rPr>
                <w:rFonts w:ascii="Arial" w:hAnsi="Arial" w:cs="Arial"/>
                <w:sz w:val="12"/>
                <w:szCs w:val="12"/>
              </w:rPr>
              <w:t>BUSMBA 555 Business Plan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6B771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49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6B771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6B771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Master of Business Administration, Online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F52AC"/>
    <w:rsid w:val="006B7714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76D4EB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2018-10-04T15:13:00Z</dcterms:created>
  <dcterms:modified xsi:type="dcterms:W3CDTF">2018-10-04T15:13:00Z</dcterms:modified>
</cp:coreProperties>
</file>