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F33C4D">
              <w:rPr>
                <w:rFonts w:ascii="Arial" w:hAnsi="Arial" w:cs="Arial"/>
                <w:sz w:val="12"/>
                <w:szCs w:val="12"/>
              </w:rPr>
              <w:t>Nursing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F33C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502 Foundation of Knowledge and Theory for Advanced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508 Advanced Research and Scholarly Inquiry for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602 Advanced Principles of Population Health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Nurse Practitioner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510 Advanced Physiology and Pathophysiology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 xml:space="preserve">NURS 516 Advanced </w:t>
            </w:r>
            <w:proofErr w:type="spellStart"/>
            <w:r w:rsidRPr="00F33C4D">
              <w:rPr>
                <w:rFonts w:ascii="Arial" w:hAnsi="Arial" w:cs="Arial"/>
                <w:sz w:val="12"/>
                <w:szCs w:val="12"/>
              </w:rPr>
              <w:t>Pharmacotherapeutics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518 Health Assessment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F33C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519 Health Assessment for the Advanced Practice Nurse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520 Professional Role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532 Leadership for Advanced Nursing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F33C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534 Diagnosis and Management of Adult/Geriatric Health and Illness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F33C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535 Diagnosis and Management of Adult/Geriatric Health and Illness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560 Scholarly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Acute Care Option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536 Acute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537 Acute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538 Acute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539 Acute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541 Acute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549 Acute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33C4D" w:rsidRDefault="00F33C4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33C4D">
              <w:rPr>
                <w:rFonts w:ascii="Arial" w:hAnsi="Arial" w:cs="Arial"/>
                <w:sz w:val="12"/>
                <w:szCs w:val="12"/>
              </w:rPr>
              <w:t>NURS 557 Acute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3C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33C4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10/5/18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33C4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Nursing, Adult Gerontology Nurse Practitioner Acute Care Option,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  <w:rsid w:val="00F3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939E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2018-10-05T22:45:00Z</dcterms:created>
  <dcterms:modified xsi:type="dcterms:W3CDTF">2018-10-05T22:45:00Z</dcterms:modified>
</cp:coreProperties>
</file>