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MPA students must successfully complete at least 39 semester credit hours of approved MPA course work. Twenty-one semester credit hours comprise the general and research core courses. PUBADM 500 should be completed as a pre- or co-requisite for PUBADM 502, PUBADM 504, and PUBADM 505.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533 should be completed as a pre- or co-requisite for PUBADM 534, PUBADM 535, PUBADM 536 AND PUBADM 537.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The eighteen additional semester credit hours are in the student’s area of emphasis and/or in the electives requirement. Some students may also be required to complete the public service internship which is explained below.</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Course Selection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Core Requirements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 xml:space="preserve">Each MPA student is required to complete the following core courses. The core courses emphasize the knowledge and skills necessary to be </w:t>
            </w:r>
            <w:r w:rsidRPr="00FE2930">
              <w:rPr>
                <w:rFonts w:ascii="Arial" w:hAnsi="Arial" w:cs="Arial"/>
                <w:sz w:val="12"/>
                <w:szCs w:val="12"/>
              </w:rPr>
              <w:t>effective</w:t>
            </w:r>
            <w:r w:rsidRPr="00FE2930">
              <w:rPr>
                <w:rFonts w:ascii="Arial" w:hAnsi="Arial" w:cs="Arial"/>
                <w:sz w:val="12"/>
                <w:szCs w:val="12"/>
              </w:rPr>
              <w:t xml:space="preserve"> in public service management and leadership. Each class includes an exploration of student values and public service ethics.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500 Administration in the Public Sector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501 Public Policy Process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502 Organizational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504 Public Budgeting and Financial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505 Personnel Administration for Public Service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692 Capstone Course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Research 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533 Research Design and Measurement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Students must select at least two credits from the following sequence of classes: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534 Descriptive Statistics (1 </w:t>
            </w:r>
            <w:proofErr w:type="spellStart"/>
            <w:r w:rsidRPr="00FE2930">
              <w:rPr>
                <w:rFonts w:ascii="Arial" w:hAnsi="Arial" w:cs="Arial"/>
                <w:sz w:val="12"/>
                <w:szCs w:val="12"/>
              </w:rPr>
              <w:t>cr</w:t>
            </w:r>
            <w:proofErr w:type="spellEnd"/>
            <w:r w:rsidRPr="00FE2930">
              <w:rPr>
                <w:rFonts w:ascii="Arial" w:hAnsi="Arial" w:cs="Arial"/>
                <w:sz w:val="12"/>
                <w:szCs w:val="12"/>
              </w:rPr>
              <w:t xml:space="preserve">)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535 Inferential Statistics (1 </w:t>
            </w:r>
            <w:proofErr w:type="spellStart"/>
            <w:r w:rsidRPr="00FE2930">
              <w:rPr>
                <w:rFonts w:ascii="Arial" w:hAnsi="Arial" w:cs="Arial"/>
                <w:sz w:val="12"/>
                <w:szCs w:val="12"/>
              </w:rPr>
              <w:t>cr</w:t>
            </w:r>
            <w:proofErr w:type="spellEnd"/>
            <w:r w:rsidRPr="00FE2930">
              <w:rPr>
                <w:rFonts w:ascii="Arial" w:hAnsi="Arial" w:cs="Arial"/>
                <w:sz w:val="12"/>
                <w:szCs w:val="12"/>
              </w:rPr>
              <w:t xml:space="preserve">)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536 Introduction to Survey Research (1 </w:t>
            </w:r>
            <w:proofErr w:type="spellStart"/>
            <w:r w:rsidRPr="00FE2930">
              <w:rPr>
                <w:rFonts w:ascii="Arial" w:hAnsi="Arial" w:cs="Arial"/>
                <w:sz w:val="12"/>
                <w:szCs w:val="12"/>
              </w:rPr>
              <w:t>cr</w:t>
            </w:r>
            <w:proofErr w:type="spellEnd"/>
            <w:r w:rsidRPr="00FE2930">
              <w:rPr>
                <w:rFonts w:ascii="Arial" w:hAnsi="Arial" w:cs="Arial"/>
                <w:sz w:val="12"/>
                <w:szCs w:val="12"/>
              </w:rPr>
              <w:t xml:space="preserve">)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 xml:space="preserve">PUBADM 537 Advanced Statistical Techniques (1 </w:t>
            </w:r>
            <w:proofErr w:type="spellStart"/>
            <w:r w:rsidRPr="00FE2930">
              <w:rPr>
                <w:rFonts w:ascii="Arial" w:hAnsi="Arial" w:cs="Arial"/>
                <w:sz w:val="12"/>
                <w:szCs w:val="12"/>
              </w:rPr>
              <w:t>cr</w:t>
            </w:r>
            <w:proofErr w:type="spellEnd"/>
            <w:r w:rsidRPr="00FE2930">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Area of Emphasis Requirements </w:t>
            </w:r>
          </w:p>
          <w:p w:rsidR="00671188" w:rsidRPr="00FE2930" w:rsidRDefault="00FE2930" w:rsidP="00FE293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 xml:space="preserve">An area of emphasis is a concentration or major in the program. Each MPA student is to complete 12 semester credit hours in one of the three areas of emphasis. Selected Topics courses will be </w:t>
            </w:r>
            <w:r w:rsidRPr="00FE2930">
              <w:rPr>
                <w:rFonts w:ascii="Arial" w:hAnsi="Arial" w:cs="Arial"/>
                <w:sz w:val="12"/>
                <w:szCs w:val="12"/>
              </w:rPr>
              <w:t>offered</w:t>
            </w:r>
            <w:r w:rsidRPr="00FE2930">
              <w:rPr>
                <w:rFonts w:ascii="Arial" w:hAnsi="Arial" w:cs="Arial"/>
                <w:sz w:val="12"/>
                <w:szCs w:val="12"/>
              </w:rPr>
              <w:t xml:space="preserve"> to supplement area of emphasis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FE2930">
        <w:trPr>
          <w:trHeight w:val="164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General Public Administration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This area of emphasis is provided to accommodate those students desiring preparation in public administration as a “generalist” rather than a “specialist” in a particular area. Students should select the 12 credit hours of course work from the noncore MPA courses listed in this catalog.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FE2930">
        <w:trPr>
          <w:trHeight w:val="108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Electives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Students must complete 6 elective semester credit hours in addition to their area of emphasis and core requirements. These credits may be taken as course work or as a Directed Research (PUBADM 696) which relates to their area of emphasis.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Public Service Internship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 xml:space="preserve">Those MPA students without at least one year of administrative experience in a public sector or other public </w:t>
            </w:r>
            <w:r w:rsidRPr="00FE2930">
              <w:rPr>
                <w:rFonts w:ascii="Arial" w:hAnsi="Arial" w:cs="Arial"/>
                <w:sz w:val="12"/>
                <w:szCs w:val="12"/>
              </w:rPr>
              <w:t>affairs</w:t>
            </w:r>
            <w:r w:rsidRPr="00FE2930">
              <w:rPr>
                <w:rFonts w:ascii="Arial" w:hAnsi="Arial" w:cs="Arial"/>
                <w:sz w:val="12"/>
                <w:szCs w:val="12"/>
              </w:rPr>
              <w:t xml:space="preserve"> agency are to complete a public service internship. The internship is served in a government </w:t>
            </w:r>
            <w:r w:rsidRPr="00FE2930">
              <w:rPr>
                <w:rFonts w:ascii="Arial" w:hAnsi="Arial" w:cs="Arial"/>
                <w:sz w:val="12"/>
                <w:szCs w:val="12"/>
              </w:rPr>
              <w:t>office</w:t>
            </w:r>
            <w:r w:rsidRPr="00FE2930">
              <w:rPr>
                <w:rFonts w:ascii="Arial" w:hAnsi="Arial" w:cs="Arial"/>
                <w:sz w:val="12"/>
                <w:szCs w:val="12"/>
              </w:rPr>
              <w:t xml:space="preserve"> at the local, state or national level or in an appropriate public </w:t>
            </w:r>
            <w:r w:rsidRPr="00FE2930">
              <w:rPr>
                <w:rFonts w:ascii="Arial" w:hAnsi="Arial" w:cs="Arial"/>
                <w:sz w:val="12"/>
                <w:szCs w:val="12"/>
              </w:rPr>
              <w:t>affairs</w:t>
            </w:r>
            <w:r w:rsidRPr="00FE2930">
              <w:rPr>
                <w:rFonts w:ascii="Arial" w:hAnsi="Arial" w:cs="Arial"/>
                <w:sz w:val="12"/>
                <w:szCs w:val="12"/>
              </w:rPr>
              <w:t xml:space="preserve"> organization, such as a private, </w:t>
            </w:r>
            <w:r w:rsidRPr="00FE2930">
              <w:rPr>
                <w:rFonts w:ascii="Arial" w:hAnsi="Arial" w:cs="Arial"/>
                <w:sz w:val="12"/>
                <w:szCs w:val="12"/>
              </w:rPr>
              <w:t>nonprofit</w:t>
            </w:r>
            <w:r w:rsidRPr="00FE2930">
              <w:rPr>
                <w:rFonts w:ascii="Arial" w:hAnsi="Arial" w:cs="Arial"/>
                <w:sz w:val="12"/>
                <w:szCs w:val="12"/>
              </w:rPr>
              <w:t xml:space="preserve"> agency. The credits received for the internship are in addition to the 39 semester credit hours from the core area and area of emphasis. The internship component comprises six (6) semester credit hours. The internship is meant to be a meaningful experience for both the MPA student and the organization in which the internship is served. Through the internship, students can further enhance their preparation for administrative work. At the same time, they are expected to make a valuable contribution to their assigned organizations. The internship is usually served when the student is near completion of the MPA program. Students who believe they are eligible for a waiver of the internship requirement should contact the graduate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0-6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FE2930"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E2930">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39-45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FE2930" w:rsidRPr="00B54BFE" w:rsidTr="00FE2930">
        <w:trPr>
          <w:trHeight w:val="351"/>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FE2930" w:rsidRDefault="00FE2930" w:rsidP="00B54BFE">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Transfer of Graduate Courses </w:t>
            </w:r>
          </w:p>
          <w:p w:rsidR="00FE2930" w:rsidRPr="00FE2930" w:rsidRDefault="00FE2930"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Because of a cooperative agreement made with Idaho State University and the University of Idaho, the MPA credits earned at those institutions can, with approval, be accepted into the Boise State University program. Transfer of credit from all other institutions is limited to twelve (12) semester 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2A4CBA" w:rsidRDefault="002A4CBA">
      <w:bookmarkStart w:id="0" w:name="_GoBack"/>
      <w:bookmarkEnd w:id="0"/>
    </w:p>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FE2930">
            <w:rPr>
              <w:rFonts w:ascii="Arial" w:eastAsia="Arial Unicode MS" w:hAnsi="Arial" w:cs="Arial"/>
              <w:noProof/>
              <w:color w:val="000000"/>
              <w:sz w:val="12"/>
              <w:szCs w:val="12"/>
              <w:bdr w:val="nil"/>
            </w:rPr>
            <w:t>10/8/18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FE2930"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Public Administration, General Public Administration, </w:t>
    </w:r>
    <w:r w:rsidR="00DF4C91">
      <w:rPr>
        <w:rFonts w:ascii="Arial" w:eastAsia="Arial Unicode MS" w:hAnsi="Arial" w:cs="Arial Unicode MS"/>
        <w:color w:val="000000"/>
        <w:sz w:val="20"/>
        <w:szCs w:val="20"/>
        <w:u w:color="000000"/>
        <w:bdr w:val="nil"/>
      </w:rPr>
      <w:t>2015-2016</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A39B9"/>
    <w:rsid w:val="005F52AC"/>
    <w:rsid w:val="00671188"/>
    <w:rsid w:val="00703D8E"/>
    <w:rsid w:val="00712644"/>
    <w:rsid w:val="00813342"/>
    <w:rsid w:val="00872B68"/>
    <w:rsid w:val="008B1D9E"/>
    <w:rsid w:val="00A85B98"/>
    <w:rsid w:val="00B54BFE"/>
    <w:rsid w:val="00D25108"/>
    <w:rsid w:val="00D43EAF"/>
    <w:rsid w:val="00D8101E"/>
    <w:rsid w:val="00DF4C91"/>
    <w:rsid w:val="00EE27CA"/>
    <w:rsid w:val="00FE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18E0"/>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2018-10-08T15:57:00Z</dcterms:created>
  <dcterms:modified xsi:type="dcterms:W3CDTF">2018-10-08T15:57:00Z</dcterms:modified>
</cp:coreProperties>
</file>