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2191C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21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91C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2191C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671188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191C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21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191C">
              <w:rPr>
                <w:rFonts w:ascii="Arial" w:hAnsi="Arial" w:cs="Arial"/>
                <w:sz w:val="12"/>
                <w:szCs w:val="12"/>
              </w:rPr>
              <w:t>BIOL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21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52191C">
        <w:trPr>
          <w:trHeight w:val="25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191C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2191C">
              <w:rPr>
                <w:rFonts w:ascii="Arial" w:hAnsi="Arial" w:cs="Arial"/>
                <w:sz w:val="12"/>
                <w:szCs w:val="12"/>
              </w:rPr>
              <w:t xml:space="preserve">Electives from course offerings that follow: </w:t>
            </w:r>
          </w:p>
          <w:p w:rsidR="00671188" w:rsidRPr="0052191C" w:rsidRDefault="0052191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2191C">
              <w:rPr>
                <w:rFonts w:ascii="Arial" w:hAnsi="Arial" w:cs="Arial"/>
                <w:sz w:val="12"/>
                <w:szCs w:val="12"/>
              </w:rPr>
              <w:t>Electives may include a maximum of six credits of Directed Research, must be approved by the student’s thesis committee, and may not include workshop, pass/fail or practicum/ internship credits.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21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191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2191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2191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2191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4B4B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2018-10-08T20:44:00Z</dcterms:created>
  <dcterms:modified xsi:type="dcterms:W3CDTF">2018-10-08T20:44:00Z</dcterms:modified>
</cp:coreProperties>
</file>