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5E6465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>COMM 501 Research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E64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>COMM 505 Theory and Philosophy of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E64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>COMM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E64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506 Interpersonal Communication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507 Organizational Communication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508 Media Theory and Criticism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509 Media Law and Ethics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510 Communication, Community and Politics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511 Critical Theories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512 Culture and Communication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520 Collaboration and Conflict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521 Discourse and Identity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522 Communication Pedagogy and Training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530 Media, Politics, and Power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531 Media and Institutions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532 Media Aesthetics and Culture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540 Communication, Gender, and Difference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541 Rhetoric and Civic Life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590 Practicum/Internship (3-6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595 Reading and Conference (3-6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596 Independent Study (3-6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597 Special Topics in Communication (1-3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E64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18-21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Choose one of the following: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591 Project (6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E6465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593 Thesis (6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5E6465" w:rsidRDefault="005E646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E6465">
              <w:rPr>
                <w:rFonts w:ascii="Arial" w:hAnsi="Arial" w:cs="Arial"/>
                <w:sz w:val="12"/>
                <w:szCs w:val="12"/>
              </w:rPr>
              <w:t xml:space="preserve">COMM 690 Master’s Comprehensive Examination (3 </w:t>
            </w:r>
            <w:proofErr w:type="spellStart"/>
            <w:r w:rsidRPr="005E646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E646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5E64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E646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E646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E646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Communication MA,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E6465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4B10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2018-10-08T21:02:00Z</dcterms:created>
  <dcterms:modified xsi:type="dcterms:W3CDTF">2018-10-08T21:02:00Z</dcterms:modified>
</cp:coreProperties>
</file>