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614B90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614B90">
        <w:trPr>
          <w:trHeight w:val="19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B90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Available cognates include technology integration, blended and online teaching and learning, educational games and simulations, e-learning design, and technology leadership.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614B90">
        <w:trPr>
          <w:trHeight w:val="180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B90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3D4918" w:rsidRPr="00614B90" w:rsidRDefault="00614B90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4B90">
              <w:rPr>
                <w:rFonts w:ascii="Arial" w:hAnsi="Arial" w:cs="Arial"/>
                <w:sz w:val="12"/>
                <w:szCs w:val="12"/>
              </w:rPr>
              <w:t xml:space="preserve">EDTECH 640 Innovative Practices in Educational Technology (1-3 </w:t>
            </w:r>
            <w:proofErr w:type="spellStart"/>
            <w:r w:rsidRPr="00614B9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4B9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4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14B9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14B9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EdS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14B90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2EC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2018-10-09T15:48:00Z</dcterms:created>
  <dcterms:modified xsi:type="dcterms:W3CDTF">2018-10-09T15:48:00Z</dcterms:modified>
</cp:coreProperties>
</file>