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D67FA3">
              <w:rPr>
                <w:rFonts w:ascii="Arial" w:hAnsi="Arial" w:cs="Arial"/>
                <w:sz w:val="12"/>
                <w:szCs w:val="12"/>
              </w:rPr>
              <w:t>MBOE 501 DNA of Excellence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502 Statistical Thinking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511 Financial Measurement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512 Design and Structure of Processes, Products, and Services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521 Improvement Tools and Skills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522 Critical Components of Change Management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531 Study Mission and Diagnostic Practice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541 Understanding and Managing the Entire Value Stream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D67FA3" w:rsidRDefault="00D67FA3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D67FA3">
              <w:rPr>
                <w:rFonts w:ascii="Arial" w:hAnsi="Arial" w:cs="Arial"/>
                <w:sz w:val="12"/>
                <w:szCs w:val="12"/>
              </w:rPr>
              <w:t>MBOE 692 Capstone: Change Management as a Strategic Initiative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D67FA3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D67FA3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10/10/18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D67FA3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Executive Master of Business Operational Excellence,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67FA3"/>
    <w:rsid w:val="00D8101E"/>
    <w:rsid w:val="00DF4C91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F8026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2018-10-10T19:44:00Z</dcterms:created>
  <dcterms:modified xsi:type="dcterms:W3CDTF">2018-10-10T19:44:00Z</dcterms:modified>
</cp:coreProperties>
</file>