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5126A0">
        <w:trPr>
          <w:trHeight w:val="214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126A0">
              <w:rPr>
                <w:rFonts w:ascii="Arial" w:hAnsi="Arial" w:cs="Arial"/>
                <w:sz w:val="12"/>
                <w:szCs w:val="12"/>
              </w:rPr>
              <w:t>Geosciences courses (GEOG, GEOPH, or GEOS)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5126A0">
        <w:trPr>
          <w:trHeight w:val="208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Additional elective courses in related fields as approved by the supervisory committee and by the graduate programs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GEOS 601 Introduction to Research Program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6A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GEOS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GEOS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26A0" w:rsidRDefault="005126A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26A0">
              <w:rPr>
                <w:rFonts w:ascii="Arial" w:hAnsi="Arial" w:cs="Arial"/>
                <w:sz w:val="12"/>
                <w:szCs w:val="12"/>
              </w:rPr>
              <w:t>GEOS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126A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126A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126A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Geosciences PhD,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126A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F91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2018-10-11T16:28:00Z</dcterms:created>
  <dcterms:modified xsi:type="dcterms:W3CDTF">2018-10-11T16:28:00Z</dcterms:modified>
</cp:coreProperties>
</file>