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495ADA">
              <w:rPr>
                <w:rFonts w:ascii="Arial" w:hAnsi="Arial" w:cs="Arial"/>
                <w:sz w:val="12"/>
                <w:szCs w:val="12"/>
              </w:rPr>
              <w:t>ED-CIFS 507 Foundations of American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95A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95ADA">
              <w:rPr>
                <w:rFonts w:ascii="Arial" w:hAnsi="Arial" w:cs="Arial"/>
                <w:sz w:val="12"/>
                <w:szCs w:val="12"/>
              </w:rPr>
              <w:t>ED-CIFS 508 Learning and Development of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95A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95ADA">
              <w:rPr>
                <w:rFonts w:ascii="Arial" w:hAnsi="Arial" w:cs="Arial"/>
                <w:sz w:val="12"/>
                <w:szCs w:val="12"/>
              </w:rPr>
              <w:t>ED-CIFS 509 Curriculum, Instruction, and Assessment in Grades 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95A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95ADA">
              <w:rPr>
                <w:rFonts w:ascii="Arial" w:hAnsi="Arial" w:cs="Arial"/>
                <w:sz w:val="12"/>
                <w:szCs w:val="12"/>
              </w:rPr>
              <w:t>ED-CIFS 550 Seminar On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95A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95ADA">
              <w:rPr>
                <w:rFonts w:ascii="Arial" w:hAnsi="Arial" w:cs="Arial"/>
                <w:sz w:val="12"/>
                <w:szCs w:val="12"/>
              </w:rPr>
              <w:t>ED-ESP 550 Teaching Students with Exceptional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95A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95ADA">
              <w:rPr>
                <w:rFonts w:ascii="Arial" w:hAnsi="Arial" w:cs="Arial"/>
                <w:sz w:val="12"/>
                <w:szCs w:val="12"/>
              </w:rPr>
              <w:t>ED-LLC 544 Content Literacy in Secondary Schools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95A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5ADA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95ADA">
              <w:rPr>
                <w:rFonts w:ascii="Arial" w:hAnsi="Arial" w:cs="Arial"/>
                <w:sz w:val="12"/>
                <w:szCs w:val="12"/>
              </w:rPr>
              <w:t xml:space="preserve">Content-specific methods course(s) </w:t>
            </w:r>
          </w:p>
          <w:p w:rsidR="00430CE0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95ADA">
              <w:rPr>
                <w:rFonts w:ascii="Arial" w:hAnsi="Arial" w:cs="Arial"/>
                <w:sz w:val="12"/>
                <w:szCs w:val="12"/>
              </w:rPr>
              <w:t>Courses may have prerequisites in addition to the admission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95A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95ADA">
              <w:rPr>
                <w:rFonts w:ascii="Arial" w:hAnsi="Arial" w:cs="Arial"/>
                <w:sz w:val="12"/>
                <w:szCs w:val="12"/>
              </w:rPr>
              <w:t>Required Professional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95ADA">
              <w:rPr>
                <w:rFonts w:ascii="Arial" w:hAnsi="Arial" w:cs="Arial"/>
                <w:sz w:val="12"/>
                <w:szCs w:val="12"/>
              </w:rPr>
              <w:t>ED-CIFS 561 Professional Year — Teaching Experience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95A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95ADA" w:rsidRDefault="00495AD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95ADA">
              <w:rPr>
                <w:rFonts w:ascii="Arial" w:hAnsi="Arial" w:cs="Arial"/>
                <w:sz w:val="12"/>
                <w:szCs w:val="12"/>
              </w:rPr>
              <w:t>ED-CIFS 562 - 566 Professional Year — Teaching Experience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95A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95AD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95AD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95AD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Teaching GC, Secondary Pathway,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495A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8AEB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2018-10-10T22:37:00Z</dcterms:created>
  <dcterms:modified xsi:type="dcterms:W3CDTF">2018-10-10T22:37:00Z</dcterms:modified>
</cp:coreProperties>
</file>