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E447B7">
              <w:rPr>
                <w:rFonts w:ascii="Arial" w:hAnsi="Arial" w:cs="Arial"/>
                <w:sz w:val="12"/>
                <w:szCs w:val="12"/>
              </w:rPr>
              <w:t xml:space="preserve">Required Accountancy and Taxation Courses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505 Advanced Auditing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512 Financial Reporting Theory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530 Corporate Tax Law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550 Advanced AIS and IT Audit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Accountancy Courses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507 Forensic Accounting and Fraud Examination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510 Advanced Financial Reporting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514 Advanced Managerial Accounting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516 Financial Analysis and Valuation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518 International Financial Reporting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Accountancy and Taxation Electives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520 Tax and Accounting Research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525 Partnership Tax Law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535 Estate and Gift Taxation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540 Taxation of Non-Profit Organizations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546 Accounting for Income Taxes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570 Multi-State Taxation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575 International Taxation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579 Personal Financial Planning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580 Selected Accounting Topics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585 Volunteer Income Tax Assistance Program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597 Special Topics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E447B7">
        <w:trPr>
          <w:trHeight w:val="10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Non-Accountancy Electives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Electives chosen from non-accountancy graduate courses. No more than 3 credits can come from courses outside of the College of Business and Economics.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E447B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447B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447B7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E447B7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Non-Accountancy Electives must be approved by the student’s graduate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447B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447B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447B7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657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2018-10-12T14:55:00Z</dcterms:created>
  <dcterms:modified xsi:type="dcterms:W3CDTF">2018-10-12T14:55:00Z</dcterms:modified>
</cp:coreProperties>
</file>