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EA2CDD">
        <w:trPr>
          <w:trHeight w:val="187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CDD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EA2CDD">
              <w:rPr>
                <w:rFonts w:ascii="Arial" w:hAnsi="Arial" w:cs="Arial"/>
                <w:sz w:val="12"/>
                <w:szCs w:val="12"/>
              </w:rPr>
              <w:t xml:space="preserve">Graduate Courses Related to Electrical and Computer Engineering </w:t>
            </w:r>
          </w:p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Graduate courses in electrical engineering, computer engineering, or computer science; all courses to be selected with student input and approved by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A2CDD">
        <w:trPr>
          <w:trHeight w:val="13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CDD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Graduate courses in electrical and computer engineering or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ECE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A2C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A2CD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A2C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A2CDD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6B1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2018-10-12T19:19:00Z</dcterms:created>
  <dcterms:modified xsi:type="dcterms:W3CDTF">2018-10-12T19:19:00Z</dcterms:modified>
</cp:coreProperties>
</file>