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16A4C">
              <w:rPr>
                <w:rFonts w:ascii="Arial" w:hAnsi="Arial" w:cs="Arial"/>
                <w:sz w:val="12"/>
                <w:szCs w:val="12"/>
              </w:rPr>
              <w:t>OPWL 523 Rapid E-Learning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525 E-Learning Principles and Practices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550 Blended Learning for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551 E-Learning Content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A4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16A4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16A4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E-Learning and Performance Support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16A4C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F57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2018-10-12T21:11:00Z</dcterms:created>
  <dcterms:modified xsi:type="dcterms:W3CDTF">2018-10-12T21:11:00Z</dcterms:modified>
</cp:coreProperties>
</file>