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511 EI/ECSE Assessment and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512 Positive Behavioral Interventions and Supports in Early Childhood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513 Family Systems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514 ECSE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B4E98" w:rsidRDefault="008B4E9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B4E98">
              <w:rPr>
                <w:rFonts w:ascii="Arial" w:hAnsi="Arial" w:cs="Arial"/>
                <w:sz w:val="12"/>
                <w:szCs w:val="12"/>
              </w:rPr>
              <w:t>ED-ESP 563 Teaching Experience in Early and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B4E9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525F8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B4E9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Early Childhood Special Education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525F86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25F86"/>
    <w:rsid w:val="005A39B9"/>
    <w:rsid w:val="005F52AC"/>
    <w:rsid w:val="00671188"/>
    <w:rsid w:val="00703D8E"/>
    <w:rsid w:val="00712644"/>
    <w:rsid w:val="00813342"/>
    <w:rsid w:val="00872B68"/>
    <w:rsid w:val="008B1D9E"/>
    <w:rsid w:val="008B4E98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740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2019-08-22T20:11:00Z</dcterms:created>
  <dcterms:modified xsi:type="dcterms:W3CDTF">2019-08-22T20:11:00Z</dcterms:modified>
</cp:coreProperties>
</file>