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The student must complete a minimum of 30 credits, of which 20 or more are required to be at the 500-level.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Select one of the following: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12 credits of GEOG, GEOPH, or GEOS courses approved by student’s supervisory committee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Geology Core (4 of the following courses)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523 Advanced Geomorphology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525 Whole Earth Geochemistry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541 Plate Tectonics </w:t>
            </w:r>
          </w:p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560 Volcanology </w:t>
            </w:r>
          </w:p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GEOS 607 Paleoclimatology and Paleoceanography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601 Introduction To Research Program Development </w:t>
            </w:r>
          </w:p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Mandatory for the first year on campus for all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399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in residence;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GEOS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6A2399">
        <w:trPr>
          <w:trHeight w:val="125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A2399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A2399">
              <w:rPr>
                <w:rFonts w:ascii="Arial" w:hAnsi="Arial" w:cs="Arial"/>
                <w:sz w:val="12"/>
                <w:szCs w:val="12"/>
              </w:rPr>
              <w:t>Additional elective courses as approved by the supervisory committee and by the coordinator of the MS Geoscience program.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A2399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A239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B73C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A239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Geoscience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BB73C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6A2399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BB73C8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4806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2019-08-27T15:43:00Z</dcterms:created>
  <dcterms:modified xsi:type="dcterms:W3CDTF">2019-08-27T15:43:00Z</dcterms:modified>
</cp:coreProperties>
</file>